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0.png" ContentType="image/png"/>
  <Override PartName="/word/media/rId53.png" ContentType="image/png"/>
  <Override PartName="/word/media/rId56.png" ContentType="image/png"/>
  <Override PartName="/word/media/rId61.png" ContentType="image/png"/>
  <Override PartName="/word/media/rId64.png" ContentType="image/png"/>
  <Override PartName="/word/media/rId67.png" ContentType="image/png"/>
  <Override PartName="/word/media/rId70.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labrotary</w:t>
      </w:r>
      <w:r>
        <w:t xml:space="preserve"> </w:t>
      </w:r>
      <w:r>
        <w:t xml:space="preserve">work</w:t>
      </w:r>
      <w:r>
        <w:t xml:space="preserve"> </w:t>
      </w:r>
      <w:r>
        <w:t xml:space="preserve">№5</w:t>
      </w:r>
    </w:p>
    <w:p>
      <w:pPr>
        <w:pStyle w:val="Subtitle"/>
      </w:pPr>
      <w:r>
        <w:t xml:space="preserve">computer</w:t>
      </w:r>
      <w:r>
        <w:t xml:space="preserve"> </w:t>
      </w:r>
      <w:r>
        <w:t xml:space="preserve">architecture</w:t>
      </w:r>
    </w:p>
    <w:p>
      <w:pPr>
        <w:pStyle w:val="Author"/>
      </w:pPr>
      <w:r>
        <w:t xml:space="preserve">Ali</w:t>
      </w:r>
      <w:r>
        <w:t xml:space="preserve"> </w:t>
      </w:r>
      <w:r>
        <w:t xml:space="preserve">hosseinabadi</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objective-of-the-work"/>
    <w:p>
      <w:pPr>
        <w:pStyle w:val="Heading1"/>
      </w:pPr>
      <w:r>
        <w:rPr>
          <w:rStyle w:val="SectionNumber"/>
        </w:rPr>
        <w:t xml:space="preserve">1</w:t>
      </w:r>
      <w:r>
        <w:tab/>
      </w:r>
      <w:r>
        <w:t xml:space="preserve">Objective of the Work</w:t>
      </w:r>
    </w:p>
    <w:p>
      <w:pPr>
        <w:pStyle w:val="FirstParagraph"/>
      </w:pPr>
      <w:r>
        <w:t xml:space="preserve">The objective of this laboratory work is to acquire practical skills in using Midnight Commander and to learn the basic instructions of the assembly language:</w:t>
      </w:r>
      <w:r>
        <w:t xml:space="preserve"> </w:t>
      </w:r>
      <w:r>
        <w:rPr>
          <w:rStyle w:val="VerbatimChar"/>
        </w:rPr>
        <w:t xml:space="preserve">mov</w:t>
      </w:r>
      <w:r>
        <w:t xml:space="preserve"> </w:t>
      </w:r>
      <w:r>
        <w:t xml:space="preserve">and</w:t>
      </w:r>
      <w:r>
        <w:t xml:space="preserve"> </w:t>
      </w:r>
      <w:r>
        <w:rPr>
          <w:rStyle w:val="VerbatimChar"/>
        </w:rPr>
        <w:t xml:space="preserve">int</w:t>
      </w:r>
      <w:r>
        <w:t xml:space="preserve">.</w:t>
      </w:r>
    </w:p>
    <w:bookmarkEnd w:id="20"/>
    <w:bookmarkStart w:id="21" w:name="task"/>
    <w:p>
      <w:pPr>
        <w:pStyle w:val="Heading1"/>
      </w:pPr>
      <w:r>
        <w:rPr>
          <w:rStyle w:val="SectionNumber"/>
        </w:rPr>
        <w:t xml:space="preserve">2</w:t>
      </w:r>
      <w:r>
        <w:tab/>
      </w:r>
      <w:r>
        <w:t xml:space="preserve">Task</w:t>
      </w:r>
    </w:p>
    <w:p>
      <w:pPr>
        <w:numPr>
          <w:ilvl w:val="0"/>
          <w:numId w:val="1001"/>
        </w:numPr>
      </w:pPr>
      <w:r>
        <w:t xml:space="preserve">Basics of working with Midnight Commander</w:t>
      </w:r>
    </w:p>
    <w:p>
      <w:pPr>
        <w:numPr>
          <w:ilvl w:val="0"/>
          <w:numId w:val="1001"/>
        </w:numPr>
      </w:pPr>
      <w:r>
        <w:t xml:space="preserve">Structure of a program written in NASM assembly language</w:t>
      </w:r>
    </w:p>
    <w:p>
      <w:pPr>
        <w:numPr>
          <w:ilvl w:val="0"/>
          <w:numId w:val="1001"/>
        </w:numPr>
      </w:pPr>
      <w:r>
        <w:t xml:space="preserve">Including an external file</w:t>
      </w:r>
    </w:p>
    <w:p>
      <w:pPr>
        <w:numPr>
          <w:ilvl w:val="0"/>
          <w:numId w:val="1001"/>
        </w:numPr>
      </w:pPr>
      <w:r>
        <w:t xml:space="preserve">Completing the assignments for self-study</w:t>
      </w:r>
    </w:p>
    <w:bookmarkEnd w:id="21"/>
    <w:bookmarkStart w:id="74" w:name="theoretical-introduction"/>
    <w:p>
      <w:pPr>
        <w:pStyle w:val="Heading1"/>
      </w:pPr>
      <w:r>
        <w:rPr>
          <w:rStyle w:val="SectionNumber"/>
        </w:rPr>
        <w:t xml:space="preserve">3</w:t>
      </w:r>
      <w:r>
        <w:tab/>
      </w:r>
      <w:r>
        <w:t xml:space="preserve">Theoretical Introduction</w:t>
      </w:r>
    </w:p>
    <w:p>
      <w:pPr>
        <w:pStyle w:val="FirstParagraph"/>
      </w:pPr>
      <w:r>
        <w:t xml:space="preserve">Midnight Commander (or simply mc) is a program that allows users to browse directory structures and perform basic file system management operations. Thus, mc functions as a file manager. Midnight Commander makes working with files more convenient and visually understandable.</w:t>
      </w:r>
    </w:p>
    <w:p>
      <w:pPr>
        <w:pStyle w:val="BodyText"/>
      </w:pPr>
      <w:r>
        <w:t xml:space="preserve">A program written in the NASM assembly language typically consists of three sections: the program code section (SECTION .text), the initialized data section (known at compile time) (SECTION .data), and the uninitialized data section (which is allocated memory at compile time but assigned values during program execution) (SECTION .bss).</w:t>
      </w:r>
    </w:p>
    <w:p>
      <w:pPr>
        <w:pStyle w:val="BodyText"/>
      </w:pPr>
      <w:r>
        <w:t xml:space="preserve">To declare initialized data in the .data section, the directives DB, DW, DD, DQ, and DT are used, which reserve memory and specify which values should be stored in that memory:</w:t>
      </w:r>
    </w:p>
    <w:p>
      <w:pPr>
        <w:numPr>
          <w:ilvl w:val="0"/>
          <w:numId w:val="1002"/>
        </w:numPr>
        <w:pStyle w:val="Compact"/>
      </w:pPr>
      <w:r>
        <w:t xml:space="preserve">DB (define byte) — defines a variable of 1 byte;</w:t>
      </w:r>
    </w:p>
    <w:p>
      <w:pPr>
        <w:numPr>
          <w:ilvl w:val="0"/>
          <w:numId w:val="1002"/>
        </w:numPr>
        <w:pStyle w:val="Compact"/>
      </w:pPr>
      <w:r>
        <w:t xml:space="preserve">DW (define word) — defines a variable of 2 bytes (word);</w:t>
      </w:r>
    </w:p>
    <w:p>
      <w:pPr>
        <w:numPr>
          <w:ilvl w:val="0"/>
          <w:numId w:val="1002"/>
        </w:numPr>
        <w:pStyle w:val="Compact"/>
      </w:pPr>
      <w:r>
        <w:t xml:space="preserve">DD (define double word) — defines a variable of 4 bytes (double word);</w:t>
      </w:r>
    </w:p>
    <w:p>
      <w:pPr>
        <w:numPr>
          <w:ilvl w:val="0"/>
          <w:numId w:val="1002"/>
        </w:numPr>
        <w:pStyle w:val="Compact"/>
      </w:pPr>
      <w:r>
        <w:t xml:space="preserve">DQ (define quad word) — defines a variable of 8 bytes (quad word);</w:t>
      </w:r>
    </w:p>
    <w:p>
      <w:pPr>
        <w:numPr>
          <w:ilvl w:val="0"/>
          <w:numId w:val="1002"/>
        </w:numPr>
        <w:pStyle w:val="Compact"/>
      </w:pPr>
      <w:r>
        <w:t xml:space="preserve">DT (define ten bytes) — defines a variable of 10 bytes.</w:t>
      </w:r>
    </w:p>
    <w:bookmarkStart w:id="60" w:name="conducting-the-laboratory-work"/>
    <w:p>
      <w:pPr>
        <w:pStyle w:val="Heading2"/>
      </w:pPr>
      <w:r>
        <w:rPr>
          <w:rStyle w:val="SectionNumber"/>
        </w:rPr>
        <w:t xml:space="preserve">3.1</w:t>
      </w:r>
      <w:r>
        <w:tab/>
      </w:r>
      <w:r>
        <w:t xml:space="preserve">Conducting the Laboratory Work</w:t>
      </w:r>
    </w:p>
    <w:bookmarkStart w:id="46" w:name="X2ec57deae22c97731bf93aa832da9776561978e"/>
    <w:p>
      <w:pPr>
        <w:pStyle w:val="Heading3"/>
      </w:pPr>
      <w:r>
        <w:rPr>
          <w:rStyle w:val="SectionNumber"/>
        </w:rPr>
        <w:t xml:space="preserve">3.1.1</w:t>
      </w:r>
      <w:r>
        <w:tab/>
      </w:r>
      <w:r>
        <w:t xml:space="preserve">Basics of Working with Midnight Commander</w:t>
      </w:r>
    </w:p>
    <w:p>
      <w:pPr>
        <w:pStyle w:val="FirstParagraph"/>
      </w:pPr>
      <w:r>
        <w:t xml:space="preserve">By entering the appropriate command in the terminal (Figure -fig. 1), I open Midnight Commander (Figure -fig. 2).</w:t>
      </w:r>
    </w:p>
    <w:p>
      <w:pPr>
        <w:pStyle w:val="CaptionedFigure"/>
      </w:pPr>
      <w:r>
        <w:drawing>
          <wp:inline>
            <wp:extent cx="3733800" cy="1820227"/>
            <wp:effectExtent b="0" l="0" r="0" t="0"/>
            <wp:docPr descr="Opening Midnight Commander" title="" id="23" name="Picture"/>
            <a:graphic>
              <a:graphicData uri="http://schemas.openxmlformats.org/drawingml/2006/picture">
                <pic:pic>
                  <pic:nvPicPr>
                    <pic:cNvPr descr="image/1.png" id="24" name="Picture"/>
                    <pic:cNvPicPr>
                      <a:picLocks noChangeArrowheads="1" noChangeAspect="1"/>
                    </pic:cNvPicPr>
                  </pic:nvPicPr>
                  <pic:blipFill>
                    <a:blip r:embed="rId22"/>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Рис. 1: Opening Midnight Commander</w:t>
      </w:r>
    </w:p>
    <w:p>
      <w:pPr>
        <w:pStyle w:val="CaptionedFigure"/>
      </w:pPr>
      <w:r>
        <w:drawing>
          <wp:inline>
            <wp:extent cx="3733800" cy="1820227"/>
            <wp:effectExtent b="0" l="0" r="0" t="0"/>
            <wp:docPr descr="Midnight Commander Interface" title="" id="26" name="Picture"/>
            <a:graphic>
              <a:graphicData uri="http://schemas.openxmlformats.org/drawingml/2006/picture">
                <pic:pic>
                  <pic:nvPicPr>
                    <pic:cNvPr descr="image/2.png" id="27" name="Picture"/>
                    <pic:cNvPicPr>
                      <a:picLocks noChangeArrowheads="1" noChangeAspect="1"/>
                    </pic:cNvPicPr>
                  </pic:nvPicPr>
                  <pic:blipFill>
                    <a:blip r:embed="rId25"/>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Рис. 2: Midnight Commander Interface</w:t>
      </w:r>
    </w:p>
    <w:p>
      <w:pPr>
        <w:pStyle w:val="BodyText"/>
      </w:pPr>
      <w:r>
        <w:t xml:space="preserve">I navigate to the directory created in the previous laboratory work (Figure -fig. 3).</w:t>
      </w:r>
    </w:p>
    <w:p>
      <w:pPr>
        <w:pStyle w:val="CaptionedFigure"/>
      </w:pPr>
      <w:r>
        <w:drawing>
          <wp:inline>
            <wp:extent cx="3733800" cy="1820227"/>
            <wp:effectExtent b="0" l="0" r="0" t="0"/>
            <wp:docPr descr="Opened Directory arch-pc" title="" id="29" name="Picture"/>
            <a:graphic>
              <a:graphicData uri="http://schemas.openxmlformats.org/drawingml/2006/picture">
                <pic:pic>
                  <pic:nvPicPr>
                    <pic:cNvPr descr="image/3.png" id="30" name="Picture"/>
                    <pic:cNvPicPr>
                      <a:picLocks noChangeArrowheads="1" noChangeAspect="1"/>
                    </pic:cNvPicPr>
                  </pic:nvPicPr>
                  <pic:blipFill>
                    <a:blip r:embed="rId28"/>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Рис. 3: Opened Directory arch-pc</w:t>
      </w:r>
    </w:p>
    <w:p>
      <w:pPr>
        <w:pStyle w:val="BodyText"/>
      </w:pPr>
      <w:r>
        <w:t xml:space="preserve">Using the function key, I create a subdirectory lab05, where I will work (Figure -fig. 4).</w:t>
      </w:r>
    </w:p>
    <w:p>
      <w:pPr>
        <w:pStyle w:val="CaptionedFigure"/>
      </w:pPr>
      <w:r>
        <w:drawing>
          <wp:inline>
            <wp:extent cx="3733800" cy="1818282"/>
            <wp:effectExtent b="0" l="0" r="0" t="0"/>
            <wp:docPr descr="Creating Working Subdirectory" title="" id="32" name="Picture"/>
            <a:graphic>
              <a:graphicData uri="http://schemas.openxmlformats.org/drawingml/2006/picture">
                <pic:pic>
                  <pic:nvPicPr>
                    <pic:cNvPr descr="image/4.png" id="33" name="Picture"/>
                    <pic:cNvPicPr>
                      <a:picLocks noChangeArrowheads="1" noChangeAspect="1"/>
                    </pic:cNvPicPr>
                  </pic:nvPicPr>
                  <pic:blipFill>
                    <a:blip r:embed="rId31"/>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Рис. 4: Creating Working Subdirectory</w:t>
      </w:r>
    </w:p>
    <w:p>
      <w:pPr>
        <w:pStyle w:val="BodyText"/>
      </w:pPr>
      <w:r>
        <w:t xml:space="preserve">In the input line, I enter the command</w:t>
      </w:r>
      <w:r>
        <w:t xml:space="preserve"> </w:t>
      </w:r>
      <w:r>
        <w:rPr>
          <w:rStyle w:val="VerbatimChar"/>
        </w:rPr>
        <w:t xml:space="preserve">touch</w:t>
      </w:r>
      <w:r>
        <w:t xml:space="preserve"> </w:t>
      </w:r>
      <w:r>
        <w:t xml:space="preserve">and create a file (Figure -fig. 5).</w:t>
      </w:r>
    </w:p>
    <w:p>
      <w:pPr>
        <w:pStyle w:val="CaptionedFigure"/>
      </w:pPr>
      <w:r>
        <w:drawing>
          <wp:inline>
            <wp:extent cx="3733800" cy="1818282"/>
            <wp:effectExtent b="0" l="0" r="0" t="0"/>
            <wp:docPr descr="Creating a File in Midnight Commander" title="" id="35" name="Picture"/>
            <a:graphic>
              <a:graphicData uri="http://schemas.openxmlformats.org/drawingml/2006/picture">
                <pic:pic>
                  <pic:nvPicPr>
                    <pic:cNvPr descr="image/5.png" id="36" name="Picture"/>
                    <pic:cNvPicPr>
                      <a:picLocks noChangeArrowheads="1" noChangeAspect="1"/>
                    </pic:cNvPicPr>
                  </pic:nvPicPr>
                  <pic:blipFill>
                    <a:blip r:embed="rId34"/>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Рис. 5: Creating a File in Midnight Commander</w:t>
      </w:r>
    </w:p>
    <w:p>
      <w:pPr>
        <w:pStyle w:val="BodyText"/>
      </w:pPr>
      <w:r>
        <w:t xml:space="preserve">I use F4 to open the newly created file and enter the code from the listing (Figure -fig. 6).</w:t>
      </w:r>
    </w:p>
    <w:p>
      <w:pPr>
        <w:pStyle w:val="CaptionedFigure"/>
      </w:pPr>
      <w:r>
        <w:drawing>
          <wp:inline>
            <wp:extent cx="3733800" cy="1820227"/>
            <wp:effectExtent b="0" l="0" r="0" t="0"/>
            <wp:docPr descr="Editing the File in Midnight Commander" title="" id="38" name="Picture"/>
            <a:graphic>
              <a:graphicData uri="http://schemas.openxmlformats.org/drawingml/2006/picture">
                <pic:pic>
                  <pic:nvPicPr>
                    <pic:cNvPr descr="image/6.png" id="39" name="Picture"/>
                    <pic:cNvPicPr>
                      <a:picLocks noChangeArrowheads="1" noChangeAspect="1"/>
                    </pic:cNvPicPr>
                  </pic:nvPicPr>
                  <pic:blipFill>
                    <a:blip r:embed="rId37"/>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Рис. 6: Editing the File in Midnight Commander</w:t>
      </w:r>
    </w:p>
    <w:p>
      <w:pPr>
        <w:pStyle w:val="BodyText"/>
      </w:pPr>
      <w:r>
        <w:t xml:space="preserve">I check the saved changes using the F3 key (Figure -fig. 7).</w:t>
      </w:r>
    </w:p>
    <w:p>
      <w:pPr>
        <w:pStyle w:val="CaptionedFigure"/>
      </w:pPr>
      <w:r>
        <w:drawing>
          <wp:inline>
            <wp:extent cx="3733800" cy="1818282"/>
            <wp:effectExtent b="0" l="0" r="0" t="0"/>
            <wp:docPr descr="Checking Saved Changes" title="" id="41" name="Picture"/>
            <a:graphic>
              <a:graphicData uri="http://schemas.openxmlformats.org/drawingml/2006/picture">
                <pic:pic>
                  <pic:nvPicPr>
                    <pic:cNvPr descr="image/7.png" id="42" name="Picture"/>
                    <pic:cNvPicPr>
                      <a:picLocks noChangeArrowheads="1" noChangeAspect="1"/>
                    </pic:cNvPicPr>
                  </pic:nvPicPr>
                  <pic:blipFill>
                    <a:blip r:embed="rId40"/>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Рис. 7: Checking Saved Changes</w:t>
      </w:r>
    </w:p>
    <w:p>
      <w:pPr>
        <w:pStyle w:val="BodyText"/>
      </w:pPr>
      <w:r>
        <w:t xml:space="preserve">I compile and execute the modified file (Figure -fig. 8).</w:t>
      </w:r>
    </w:p>
    <w:p>
      <w:pPr>
        <w:pStyle w:val="CaptionedFigure"/>
      </w:pPr>
      <w:r>
        <w:drawing>
          <wp:inline>
            <wp:extent cx="3733800" cy="1818282"/>
            <wp:effectExtent b="0" l="0" r="0" t="0"/>
            <wp:docPr descr="Running the Modified Program" title="" id="44" name="Picture"/>
            <a:graphic>
              <a:graphicData uri="http://schemas.openxmlformats.org/drawingml/2006/picture">
                <pic:pic>
                  <pic:nvPicPr>
                    <pic:cNvPr descr="image/8.png" id="45" name="Picture"/>
                    <pic:cNvPicPr>
                      <a:picLocks noChangeArrowheads="1" noChangeAspect="1"/>
                    </pic:cNvPicPr>
                  </pic:nvPicPr>
                  <pic:blipFill>
                    <a:blip r:embed="rId43"/>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Рис. 8: Running the Modified Program</w:t>
      </w:r>
    </w:p>
    <w:bookmarkEnd w:id="46"/>
    <w:bookmarkStart w:id="59" w:name="connecting-an-external-file"/>
    <w:p>
      <w:pPr>
        <w:pStyle w:val="Heading3"/>
      </w:pPr>
      <w:r>
        <w:rPr>
          <w:rStyle w:val="SectionNumber"/>
        </w:rPr>
        <w:t xml:space="preserve">3.1.2</w:t>
      </w:r>
      <w:r>
        <w:tab/>
      </w:r>
      <w:r>
        <w:t xml:space="preserve">Connecting an External File</w:t>
      </w:r>
    </w:p>
    <w:p>
      <w:pPr>
        <w:pStyle w:val="FirstParagraph"/>
      </w:pPr>
      <w:r>
        <w:t xml:space="preserve">I save the file downloaded from TUIS to a shared folder on my computer, then in the virtual machine, I go to the directory of the shared folder, copy the file to the working subdirectory (Figure -fig. 9).</w:t>
      </w:r>
    </w:p>
    <w:p>
      <w:pPr>
        <w:pStyle w:val="CaptionedFigure"/>
      </w:pPr>
      <w:r>
        <w:drawing>
          <wp:inline>
            <wp:extent cx="3733800" cy="1818282"/>
            <wp:effectExtent b="0" l="0" r="0" t="0"/>
            <wp:docPr descr="Copying the File to the Working Directory" title="" id="48" name="Picture"/>
            <a:graphic>
              <a:graphicData uri="http://schemas.openxmlformats.org/drawingml/2006/picture">
                <pic:pic>
                  <pic:nvPicPr>
                    <pic:cNvPr descr="image/9.png" id="49" name="Picture"/>
                    <pic:cNvPicPr>
                      <a:picLocks noChangeArrowheads="1" noChangeAspect="1"/>
                    </pic:cNvPicPr>
                  </pic:nvPicPr>
                  <pic:blipFill>
                    <a:blip r:embed="rId47"/>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Рис. 9: Copying the File to the Working Directory</w:t>
      </w:r>
    </w:p>
    <w:p>
      <w:pPr>
        <w:pStyle w:val="BodyText"/>
      </w:pPr>
      <w:r>
        <w:t xml:space="preserve">I include subroutines from the included file in the copy of the file (Figure -fig. 10).</w:t>
      </w:r>
    </w:p>
    <w:p>
      <w:pPr>
        <w:pStyle w:val="CaptionedFigure"/>
      </w:pPr>
      <w:r>
        <w:drawing>
          <wp:inline>
            <wp:extent cx="3733800" cy="1818282"/>
            <wp:effectExtent b="0" l="0" r="0" t="0"/>
            <wp:docPr descr="Changing the Program" title="" id="51" name="Picture"/>
            <a:graphic>
              <a:graphicData uri="http://schemas.openxmlformats.org/drawingml/2006/picture">
                <pic:pic>
                  <pic:nvPicPr>
                    <pic:cNvPr descr="image/10.png" id="52" name="Picture"/>
                    <pic:cNvPicPr>
                      <a:picLocks noChangeArrowheads="1" noChangeAspect="1"/>
                    </pic:cNvPicPr>
                  </pic:nvPicPr>
                  <pic:blipFill>
                    <a:blip r:embed="rId50"/>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Рис. 10: Changing the Program</w:t>
      </w:r>
    </w:p>
    <w:p>
      <w:pPr>
        <w:pStyle w:val="BodyText"/>
      </w:pPr>
      <w:r>
        <w:t xml:space="preserve">I translate, compose, and launch the program with the included file (Figure -fig. 12).</w:t>
      </w:r>
    </w:p>
    <w:p>
      <w:pPr>
        <w:pStyle w:val="CaptionedFigure"/>
      </w:pPr>
      <w:r>
        <w:drawing>
          <wp:inline>
            <wp:extent cx="3733800" cy="1820227"/>
            <wp:effectExtent b="0" l="0" r="0" t="0"/>
            <wp:docPr descr="Launching the Modified Program" title="" id="54" name="Picture"/>
            <a:graphic>
              <a:graphicData uri="http://schemas.openxmlformats.org/drawingml/2006/picture">
                <pic:pic>
                  <pic:nvPicPr>
                    <pic:cNvPr descr="image/11.png" id="55" name="Picture"/>
                    <pic:cNvPicPr>
                      <a:picLocks noChangeArrowheads="1" noChangeAspect="1"/>
                    </pic:cNvPicPr>
                  </pic:nvPicPr>
                  <pic:blipFill>
                    <a:blip r:embed="rId53"/>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Рис. 11: Launching the Modified Program</w:t>
      </w:r>
    </w:p>
    <w:p>
      <w:pPr>
        <w:pStyle w:val="BodyText"/>
      </w:pPr>
      <w:r>
        <w:t xml:space="preserve">I edit the file and replace the</w:t>
      </w:r>
      <w:r>
        <w:t xml:space="preserve"> </w:t>
      </w:r>
      <w:r>
        <w:rPr>
          <w:rStyle w:val="VerbatimChar"/>
        </w:rPr>
        <w:t xml:space="preserve">sprintLF</w:t>
      </w:r>
      <w:r>
        <w:t xml:space="preserve"> </w:t>
      </w:r>
      <w:r>
        <w:t xml:space="preserve">subroutine with</w:t>
      </w:r>
      <w:r>
        <w:t xml:space="preserve"> </w:t>
      </w:r>
      <w:r>
        <w:rPr>
          <w:rStyle w:val="VerbatimChar"/>
        </w:rPr>
        <w:t xml:space="preserve">sprint</w:t>
      </w:r>
      <w:r>
        <w:t xml:space="preserve">. The difference between the two subroutines is that the second one prompts the input on the same line (Figure -fig. 13).</w:t>
      </w:r>
    </w:p>
    <w:p>
      <w:pPr>
        <w:pStyle w:val="CaptionedFigure"/>
      </w:pPr>
      <w:r>
        <w:drawing>
          <wp:inline>
            <wp:extent cx="3733800" cy="1818282"/>
            <wp:effectExtent b="0" l="0" r="0" t="0"/>
            <wp:docPr descr="Running the Modified Program with Different Subroutine" title="" id="57" name="Picture"/>
            <a:graphic>
              <a:graphicData uri="http://schemas.openxmlformats.org/drawingml/2006/picture">
                <pic:pic>
                  <pic:nvPicPr>
                    <pic:cNvPr descr="image/12.png" id="58" name="Picture"/>
                    <pic:cNvPicPr>
                      <a:picLocks noChangeArrowheads="1" noChangeAspect="1"/>
                    </pic:cNvPicPr>
                  </pic:nvPicPr>
                  <pic:blipFill>
                    <a:blip r:embed="rId56"/>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Рис. 12: Running the Modified Program with Different Subroutine</w:t>
      </w:r>
    </w:p>
    <w:bookmarkEnd w:id="59"/>
    <w:bookmarkEnd w:id="60"/>
    <w:bookmarkStart w:id="73" w:name="self-study-task"/>
    <w:p>
      <w:pPr>
        <w:pStyle w:val="Heading2"/>
      </w:pPr>
      <w:r>
        <w:rPr>
          <w:rStyle w:val="SectionNumber"/>
        </w:rPr>
        <w:t xml:space="preserve">3.2</w:t>
      </w:r>
      <w:r>
        <w:tab/>
      </w:r>
      <w:r>
        <w:t xml:space="preserve">Self-Study Task</w:t>
      </w:r>
    </w:p>
    <w:p>
      <w:pPr>
        <w:pStyle w:val="FirstParagraph"/>
      </w:pPr>
      <w:r>
        <w:t xml:space="preserve">I create a copy of</w:t>
      </w:r>
      <w:r>
        <w:t xml:space="preserve"> </w:t>
      </w:r>
      <w:r>
        <w:rPr>
          <w:rStyle w:val="VerbatimChar"/>
        </w:rPr>
        <w:t xml:space="preserve">lab5-1.asm</w:t>
      </w:r>
      <w:r>
        <w:t xml:space="preserve">, editing it so that the string I entered from the keyboard is displayed at the end (Figure -fig. 14).</w:t>
      </w:r>
    </w:p>
    <w:p>
      <w:pPr>
        <w:pStyle w:val="CaptionedFigure"/>
      </w:pPr>
      <w:r>
        <w:drawing>
          <wp:inline>
            <wp:extent cx="3733800" cy="1820227"/>
            <wp:effectExtent b="0" l="0" r="0" t="0"/>
            <wp:docPr descr="Editing the Copy" title="" id="62" name="Picture"/>
            <a:graphic>
              <a:graphicData uri="http://schemas.openxmlformats.org/drawingml/2006/picture">
                <pic:pic>
                  <pic:nvPicPr>
                    <pic:cNvPr descr="image/13.png" id="63" name="Picture"/>
                    <pic:cNvPicPr>
                      <a:picLocks noChangeArrowheads="1" noChangeAspect="1"/>
                    </pic:cNvPicPr>
                  </pic:nvPicPr>
                  <pic:blipFill>
                    <a:blip r:embed="rId61"/>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Рис. 13: Editing the Copy</w:t>
      </w:r>
    </w:p>
    <w:p>
      <w:pPr>
        <w:pStyle w:val="BodyText"/>
      </w:pPr>
      <w:r>
        <w:t xml:space="preserve">I translate, compose, and run my program (Figure -fig. 15).</w:t>
      </w:r>
    </w:p>
    <w:p>
      <w:pPr>
        <w:pStyle w:val="CaptionedFigure"/>
      </w:pPr>
      <w:r>
        <w:drawing>
          <wp:inline>
            <wp:extent cx="3733800" cy="1820227"/>
            <wp:effectExtent b="0" l="0" r="0" t="0"/>
            <wp:docPr descr="Running the Program" title="" id="65" name="Picture"/>
            <a:graphic>
              <a:graphicData uri="http://schemas.openxmlformats.org/drawingml/2006/picture">
                <pic:pic>
                  <pic:nvPicPr>
                    <pic:cNvPr descr="image/14.png" id="66" name="Picture"/>
                    <pic:cNvPicPr>
                      <a:picLocks noChangeArrowheads="1" noChangeAspect="1"/>
                    </pic:cNvPicPr>
                  </pic:nvPicPr>
                  <pic:blipFill>
                    <a:blip r:embed="rId64"/>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Рис. 14: Running the Program</w:t>
      </w:r>
    </w:p>
    <w:p>
      <w:pPr>
        <w:pStyle w:val="BodyText"/>
      </w:pPr>
      <w:r>
        <w:t xml:space="preserve">Here is the code:</w:t>
      </w:r>
    </w:p>
    <w:p>
      <w:pPr>
        <w:pStyle w:val="SourceCode"/>
      </w:pPr>
      <w:r>
        <w:rPr>
          <w:rStyle w:val="KeywordTok"/>
        </w:rPr>
        <w:t xml:space="preserve">SECTION</w:t>
      </w:r>
      <w:r>
        <w:rPr>
          <w:rStyle w:val="NormalTok"/>
        </w:rPr>
        <w:t xml:space="preserve"> </w:t>
      </w:r>
      <w:r>
        <w:rPr>
          <w:rStyle w:val="FunctionTok"/>
        </w:rPr>
        <w:t xml:space="preserve">.data</w:t>
      </w:r>
      <w:r>
        <w:br/>
      </w:r>
      <w:r>
        <w:rPr>
          <w:rStyle w:val="FunctionTok"/>
        </w:rPr>
        <w:t xml:space="preserve">msg:</w:t>
      </w:r>
      <w:r>
        <w:rPr>
          <w:rStyle w:val="NormalTok"/>
        </w:rPr>
        <w:t xml:space="preserve"> </w:t>
      </w:r>
      <w:r>
        <w:rPr>
          <w:rStyle w:val="DataTypeTok"/>
        </w:rPr>
        <w:t xml:space="preserve">DB</w:t>
      </w:r>
      <w:r>
        <w:rPr>
          <w:rStyle w:val="NormalTok"/>
        </w:rPr>
        <w:t xml:space="preserve"> </w:t>
      </w:r>
      <w:r>
        <w:rPr>
          <w:rStyle w:val="StringTok"/>
        </w:rPr>
        <w:t xml:space="preserve">'write a string:'</w:t>
      </w:r>
      <w:r>
        <w:rPr>
          <w:rStyle w:val="OperatorTok"/>
        </w:rPr>
        <w:t xml:space="preserve">,</w:t>
      </w:r>
      <w:r>
        <w:rPr>
          <w:rStyle w:val="NormalTok"/>
        </w:rPr>
        <w:t xml:space="preserve"> </w:t>
      </w:r>
      <w:r>
        <w:rPr>
          <w:rStyle w:val="DecValTok"/>
        </w:rPr>
        <w:t xml:space="preserve">10</w:t>
      </w:r>
      <w:r>
        <w:br/>
      </w:r>
      <w:r>
        <w:rPr>
          <w:rStyle w:val="FunctionTok"/>
        </w:rPr>
        <w:t xml:space="preserve">msgLen:</w:t>
      </w:r>
      <w:r>
        <w:rPr>
          <w:rStyle w:val="NormalTok"/>
        </w:rPr>
        <w:t xml:space="preserve"> </w:t>
      </w:r>
      <w:r>
        <w:rPr>
          <w:rStyle w:val="DataTypeTok"/>
        </w:rPr>
        <w:t xml:space="preserve">EQU</w:t>
      </w:r>
      <w:r>
        <w:rPr>
          <w:rStyle w:val="NormalTok"/>
        </w:rPr>
        <w:t xml:space="preserve"> </w:t>
      </w:r>
      <w:r>
        <w:rPr>
          <w:rStyle w:val="OperatorTok"/>
        </w:rPr>
        <w:t xml:space="preserve">$-</w:t>
      </w:r>
      <w:r>
        <w:rPr>
          <w:rStyle w:val="NormalTok"/>
        </w:rPr>
        <w:t xml:space="preserve">msg</w:t>
      </w:r>
      <w:r>
        <w:br/>
      </w:r>
      <w:r>
        <w:br/>
      </w:r>
      <w:r>
        <w:rPr>
          <w:rStyle w:val="KeywordTok"/>
        </w:rPr>
        <w:t xml:space="preserve">SECTION</w:t>
      </w:r>
      <w:r>
        <w:rPr>
          <w:rStyle w:val="NormalTok"/>
        </w:rPr>
        <w:t xml:space="preserve"> </w:t>
      </w:r>
      <w:r>
        <w:rPr>
          <w:rStyle w:val="FunctionTok"/>
        </w:rPr>
        <w:t xml:space="preserve">.bss</w:t>
      </w:r>
      <w:r>
        <w:br/>
      </w:r>
      <w:r>
        <w:rPr>
          <w:rStyle w:val="FunctionTok"/>
        </w:rPr>
        <w:t xml:space="preserve">buf1:</w:t>
      </w:r>
      <w:r>
        <w:rPr>
          <w:rStyle w:val="NormalTok"/>
        </w:rPr>
        <w:t xml:space="preserve"> </w:t>
      </w:r>
      <w:r>
        <w:rPr>
          <w:rStyle w:val="DataTypeTok"/>
        </w:rPr>
        <w:t xml:space="preserve">RESB</w:t>
      </w:r>
      <w:r>
        <w:rPr>
          <w:rStyle w:val="NormalTok"/>
        </w:rPr>
        <w:t xml:space="preserve"> </w:t>
      </w:r>
      <w:r>
        <w:rPr>
          <w:rStyle w:val="DecValTok"/>
        </w:rPr>
        <w:t xml:space="preserve">80</w:t>
      </w:r>
      <w:r>
        <w:br/>
      </w:r>
      <w:r>
        <w:br/>
      </w:r>
      <w:r>
        <w:rPr>
          <w:rStyle w:val="KeywordTok"/>
        </w:rPr>
        <w:t xml:space="preserve">SECTION</w:t>
      </w:r>
      <w:r>
        <w:rPr>
          <w:rStyle w:val="NormalTok"/>
        </w:rPr>
        <w:t xml:space="preserve"> </w:t>
      </w:r>
      <w:r>
        <w:rPr>
          <w:rStyle w:val="FunctionTok"/>
        </w:rPr>
        <w:t xml:space="preserve">.text</w:t>
      </w:r>
      <w:r>
        <w:br/>
      </w:r>
      <w:r>
        <w:rPr>
          <w:rStyle w:val="KeywordTok"/>
        </w:rPr>
        <w:t xml:space="preserve">GLOBAL</w:t>
      </w:r>
      <w:r>
        <w:rPr>
          <w:rStyle w:val="NormalTok"/>
        </w:rPr>
        <w:t xml:space="preserve"> _start</w:t>
      </w:r>
      <w:r>
        <w:br/>
      </w:r>
      <w:r>
        <w:br/>
      </w:r>
      <w:r>
        <w:rPr>
          <w:rStyle w:val="FunctionTok"/>
        </w:rPr>
        <w:t xml:space="preserve">_start:</w:t>
      </w:r>
      <w:r>
        <w:br/>
      </w:r>
      <w:r>
        <w:rPr>
          <w:rStyle w:val="NormalTok"/>
        </w:rPr>
        <w:t xml:space="preserve">    </w:t>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w:t>
      </w:r>
      <w:r>
        <w:rPr>
          <w:rStyle w:val="DecValTok"/>
        </w:rPr>
        <w:t xml:space="preserve">4</w:t>
      </w:r>
      <w:r>
        <w:br/>
      </w:r>
      <w:r>
        <w:rPr>
          <w:rStyle w:val="NormalTok"/>
        </w:rPr>
        <w:t xml:space="preserve">    </w:t>
      </w:r>
      <w:r>
        <w:rPr>
          <w:rStyle w:val="KeywordTok"/>
        </w:rPr>
        <w:t xml:space="preserve">mov</w:t>
      </w:r>
      <w:r>
        <w:rPr>
          <w:rStyle w:val="NormalTok"/>
        </w:rPr>
        <w:t xml:space="preserve">     </w:t>
      </w:r>
      <w:r>
        <w:rPr>
          <w:rStyle w:val="KeywordTok"/>
        </w:rPr>
        <w:t xml:space="preserve">ebx</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KeywordTok"/>
        </w:rPr>
        <w:t xml:space="preserve">mov</w:t>
      </w:r>
      <w:r>
        <w:rPr>
          <w:rStyle w:val="NormalTok"/>
        </w:rPr>
        <w:t xml:space="preserve">     </w:t>
      </w:r>
      <w:r>
        <w:rPr>
          <w:rStyle w:val="KeywordTok"/>
        </w:rPr>
        <w:t xml:space="preserve">ecx</w:t>
      </w:r>
      <w:r>
        <w:rPr>
          <w:rStyle w:val="OperatorTok"/>
        </w:rPr>
        <w:t xml:space="preserve">,</w:t>
      </w:r>
      <w:r>
        <w:rPr>
          <w:rStyle w:val="NormalTok"/>
        </w:rPr>
        <w:t xml:space="preserve"> msg</w:t>
      </w:r>
      <w:r>
        <w:br/>
      </w:r>
      <w:r>
        <w:rPr>
          <w:rStyle w:val="NormalTok"/>
        </w:rPr>
        <w:t xml:space="preserve">    </w:t>
      </w:r>
      <w:r>
        <w:rPr>
          <w:rStyle w:val="KeywordTok"/>
        </w:rPr>
        <w:t xml:space="preserve">mov</w:t>
      </w:r>
      <w:r>
        <w:rPr>
          <w:rStyle w:val="NormalTok"/>
        </w:rPr>
        <w:t xml:space="preserve">     </w:t>
      </w:r>
      <w:r>
        <w:rPr>
          <w:rStyle w:val="KeywordTok"/>
        </w:rPr>
        <w:t xml:space="preserve">edx</w:t>
      </w:r>
      <w:r>
        <w:rPr>
          <w:rStyle w:val="OperatorTok"/>
        </w:rPr>
        <w:t xml:space="preserve">,</w:t>
      </w:r>
      <w:r>
        <w:rPr>
          <w:rStyle w:val="NormalTok"/>
        </w:rPr>
        <w:t xml:space="preserve"> msgLen</w:t>
      </w:r>
      <w:r>
        <w:br/>
      </w:r>
      <w:r>
        <w:rPr>
          <w:rStyle w:val="NormalTok"/>
        </w:rPr>
        <w:t xml:space="preserve">    </w:t>
      </w:r>
      <w:r>
        <w:rPr>
          <w:rStyle w:val="KeywordTok"/>
        </w:rPr>
        <w:t xml:space="preserve">int</w:t>
      </w:r>
      <w:r>
        <w:rPr>
          <w:rStyle w:val="NormalTok"/>
        </w:rPr>
        <w:t xml:space="preserve">     </w:t>
      </w:r>
      <w:r>
        <w:rPr>
          <w:rStyle w:val="BaseNTok"/>
        </w:rPr>
        <w:t xml:space="preserve">80h</w:t>
      </w:r>
      <w:r>
        <w:br/>
      </w:r>
      <w:r>
        <w:br/>
      </w:r>
      <w:r>
        <w:rPr>
          <w:rStyle w:val="NormalTok"/>
        </w:rPr>
        <w:t xml:space="preserve">    </w:t>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w:t>
      </w:r>
      <w:r>
        <w:rPr>
          <w:rStyle w:val="DecValTok"/>
        </w:rPr>
        <w:t xml:space="preserve">3</w:t>
      </w:r>
      <w:r>
        <w:br/>
      </w:r>
      <w:r>
        <w:rPr>
          <w:rStyle w:val="NormalTok"/>
        </w:rPr>
        <w:t xml:space="preserve">    </w:t>
      </w:r>
      <w:r>
        <w:rPr>
          <w:rStyle w:val="KeywordTok"/>
        </w:rPr>
        <w:t xml:space="preserve">mov</w:t>
      </w:r>
      <w:r>
        <w:rPr>
          <w:rStyle w:val="NormalTok"/>
        </w:rPr>
        <w:t xml:space="preserve">     </w:t>
      </w:r>
      <w:r>
        <w:rPr>
          <w:rStyle w:val="KeywordTok"/>
        </w:rPr>
        <w:t xml:space="preserve">ebx</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KeywordTok"/>
        </w:rPr>
        <w:t xml:space="preserve">mov</w:t>
      </w:r>
      <w:r>
        <w:rPr>
          <w:rStyle w:val="NormalTok"/>
        </w:rPr>
        <w:t xml:space="preserve">     </w:t>
      </w:r>
      <w:r>
        <w:rPr>
          <w:rStyle w:val="KeywordTok"/>
        </w:rPr>
        <w:t xml:space="preserve">ecx</w:t>
      </w:r>
      <w:r>
        <w:rPr>
          <w:rStyle w:val="OperatorTok"/>
        </w:rPr>
        <w:t xml:space="preserve">,</w:t>
      </w:r>
      <w:r>
        <w:rPr>
          <w:rStyle w:val="NormalTok"/>
        </w:rPr>
        <w:t xml:space="preserve"> buf1</w:t>
      </w:r>
      <w:r>
        <w:br/>
      </w:r>
      <w:r>
        <w:rPr>
          <w:rStyle w:val="NormalTok"/>
        </w:rPr>
        <w:t xml:space="preserve">    </w:t>
      </w:r>
      <w:r>
        <w:rPr>
          <w:rStyle w:val="KeywordTok"/>
        </w:rPr>
        <w:t xml:space="preserve">mov</w:t>
      </w:r>
      <w:r>
        <w:rPr>
          <w:rStyle w:val="NormalTok"/>
        </w:rPr>
        <w:t xml:space="preserve">     </w:t>
      </w:r>
      <w:r>
        <w:rPr>
          <w:rStyle w:val="KeywordTok"/>
        </w:rPr>
        <w:t xml:space="preserve">edx</w:t>
      </w:r>
      <w:r>
        <w:rPr>
          <w:rStyle w:val="OperatorTok"/>
        </w:rPr>
        <w:t xml:space="preserve">,</w:t>
      </w:r>
      <w:r>
        <w:rPr>
          <w:rStyle w:val="NormalTok"/>
        </w:rPr>
        <w:t xml:space="preserve"> </w:t>
      </w:r>
      <w:r>
        <w:rPr>
          <w:rStyle w:val="DecValTok"/>
        </w:rPr>
        <w:t xml:space="preserve">80</w:t>
      </w:r>
      <w:r>
        <w:br/>
      </w:r>
      <w:r>
        <w:rPr>
          <w:rStyle w:val="NormalTok"/>
        </w:rPr>
        <w:t xml:space="preserve">    </w:t>
      </w:r>
      <w:r>
        <w:rPr>
          <w:rStyle w:val="KeywordTok"/>
        </w:rPr>
        <w:t xml:space="preserve">int</w:t>
      </w:r>
      <w:r>
        <w:rPr>
          <w:rStyle w:val="NormalTok"/>
        </w:rPr>
        <w:t xml:space="preserve">     </w:t>
      </w:r>
      <w:r>
        <w:rPr>
          <w:rStyle w:val="BaseNTok"/>
        </w:rPr>
        <w:t xml:space="preserve">80h</w:t>
      </w:r>
      <w:r>
        <w:br/>
      </w:r>
      <w:r>
        <w:br/>
      </w:r>
      <w:r>
        <w:rPr>
          <w:rStyle w:val="NormalTok"/>
        </w:rPr>
        <w:t xml:space="preserve">    </w:t>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w:t>
      </w:r>
      <w:r>
        <w:rPr>
          <w:rStyle w:val="DecValTok"/>
        </w:rPr>
        <w:t xml:space="preserve">4</w:t>
      </w:r>
      <w:r>
        <w:br/>
      </w:r>
      <w:r>
        <w:rPr>
          <w:rStyle w:val="NormalTok"/>
        </w:rPr>
        <w:t xml:space="preserve">    </w:t>
      </w:r>
      <w:r>
        <w:rPr>
          <w:rStyle w:val="KeywordTok"/>
        </w:rPr>
        <w:t xml:space="preserve">mov</w:t>
      </w:r>
      <w:r>
        <w:rPr>
          <w:rStyle w:val="NormalTok"/>
        </w:rPr>
        <w:t xml:space="preserve">     </w:t>
      </w:r>
      <w:r>
        <w:rPr>
          <w:rStyle w:val="KeywordTok"/>
        </w:rPr>
        <w:t xml:space="preserve">ebx</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KeywordTok"/>
        </w:rPr>
        <w:t xml:space="preserve">mov</w:t>
      </w:r>
      <w:r>
        <w:rPr>
          <w:rStyle w:val="NormalTok"/>
        </w:rPr>
        <w:t xml:space="preserve">     </w:t>
      </w:r>
      <w:r>
        <w:rPr>
          <w:rStyle w:val="KeywordTok"/>
        </w:rPr>
        <w:t xml:space="preserve">ecx</w:t>
      </w:r>
      <w:r>
        <w:rPr>
          <w:rStyle w:val="OperatorTok"/>
        </w:rPr>
        <w:t xml:space="preserve">,</w:t>
      </w:r>
      <w:r>
        <w:rPr>
          <w:rStyle w:val="NormalTok"/>
        </w:rPr>
        <w:t xml:space="preserve"> buf1</w:t>
      </w:r>
      <w:r>
        <w:br/>
      </w:r>
      <w:r>
        <w:rPr>
          <w:rStyle w:val="NormalTok"/>
        </w:rPr>
        <w:t xml:space="preserve">    </w:t>
      </w:r>
      <w:r>
        <w:rPr>
          <w:rStyle w:val="KeywordTok"/>
        </w:rPr>
        <w:t xml:space="preserve">mov</w:t>
      </w:r>
      <w:r>
        <w:rPr>
          <w:rStyle w:val="NormalTok"/>
        </w:rPr>
        <w:t xml:space="preserve">     </w:t>
      </w:r>
      <w:r>
        <w:rPr>
          <w:rStyle w:val="KeywordTok"/>
        </w:rPr>
        <w:t xml:space="preserve">edx</w:t>
      </w:r>
      <w:r>
        <w:rPr>
          <w:rStyle w:val="OperatorTok"/>
        </w:rPr>
        <w:t xml:space="preserve">,</w:t>
      </w:r>
      <w:r>
        <w:rPr>
          <w:rStyle w:val="NormalTok"/>
        </w:rPr>
        <w:t xml:space="preserve"> buf1</w:t>
      </w:r>
      <w:r>
        <w:br/>
      </w:r>
      <w:r>
        <w:rPr>
          <w:rStyle w:val="NormalTok"/>
        </w:rPr>
        <w:t xml:space="preserve">    </w:t>
      </w:r>
      <w:r>
        <w:rPr>
          <w:rStyle w:val="KeywordTok"/>
        </w:rPr>
        <w:t xml:space="preserve">int</w:t>
      </w:r>
      <w:r>
        <w:rPr>
          <w:rStyle w:val="NormalTok"/>
        </w:rPr>
        <w:t xml:space="preserve">     </w:t>
      </w:r>
      <w:r>
        <w:rPr>
          <w:rStyle w:val="BaseNTok"/>
        </w:rPr>
        <w:t xml:space="preserve">80h</w:t>
      </w:r>
      <w:r>
        <w:br/>
      </w:r>
      <w:r>
        <w:br/>
      </w:r>
      <w:r>
        <w:rPr>
          <w:rStyle w:val="NormalTok"/>
        </w:rPr>
        <w:t xml:space="preserve">    </w:t>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KeywordTok"/>
        </w:rPr>
        <w:t xml:space="preserve">mov</w:t>
      </w:r>
      <w:r>
        <w:rPr>
          <w:rStyle w:val="NormalTok"/>
        </w:rPr>
        <w:t xml:space="preserve">     </w:t>
      </w:r>
      <w:r>
        <w:rPr>
          <w:rStyle w:val="KeywordTok"/>
        </w:rPr>
        <w:t xml:space="preserve">ebx</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KeywordTok"/>
        </w:rPr>
        <w:t xml:space="preserve">int</w:t>
      </w:r>
      <w:r>
        <w:rPr>
          <w:rStyle w:val="NormalTok"/>
        </w:rPr>
        <w:t xml:space="preserve">     </w:t>
      </w:r>
      <w:r>
        <w:rPr>
          <w:rStyle w:val="BaseNTok"/>
        </w:rPr>
        <w:t xml:space="preserve">80h</w:t>
      </w:r>
    </w:p>
    <w:p>
      <w:pPr>
        <w:pStyle w:val="FirstParagraph"/>
      </w:pPr>
      <w:r>
        <w:t xml:space="preserve">I create a copy of lab5-2.asm, edit it so that the line I entered from the keyboard is displayed at the end (Fig. -fig. 16).</w:t>
      </w:r>
    </w:p>
    <w:p>
      <w:pPr>
        <w:pStyle w:val="CaptionedFigure"/>
      </w:pPr>
      <w:r>
        <w:drawing>
          <wp:inline>
            <wp:extent cx="3733800" cy="1820227"/>
            <wp:effectExtent b="0" l="0" r="0" t="0"/>
            <wp:docPr descr="Editing a copy" title="" id="68" name="Picture"/>
            <a:graphic>
              <a:graphicData uri="http://schemas.openxmlformats.org/drawingml/2006/picture">
                <pic:pic>
                  <pic:nvPicPr>
                    <pic:cNvPr descr="image/15.png" id="69" name="Picture"/>
                    <pic:cNvPicPr>
                      <a:picLocks noChangeArrowheads="1" noChangeAspect="1"/>
                    </pic:cNvPicPr>
                  </pic:nvPicPr>
                  <pic:blipFill>
                    <a:blip r:embed="rId67"/>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Рис. 15: Editing a copy</w:t>
      </w:r>
    </w:p>
    <w:p>
      <w:pPr>
        <w:pStyle w:val="BodyText"/>
      </w:pPr>
      <w:r>
        <w:t xml:space="preserve">I translate, compose and run my program (Fig. -fig. </w:t>
      </w:r>
      <w:r>
        <w:rPr>
          <w:bCs/>
          <w:b/>
        </w:rPr>
        <w:t xml:space="preserve">¿fig:017?</w:t>
      </w:r>
      <w:r>
        <w:t xml:space="preserve">).</w:t>
      </w:r>
    </w:p>
    <w:p>
      <w:pPr>
        <w:pStyle w:val="CaptionedFigure"/>
      </w:pPr>
      <w:r>
        <w:drawing>
          <wp:inline>
            <wp:extent cx="3733800" cy="1820227"/>
            <wp:effectExtent b="0" l="0" r="0" t="0"/>
            <wp:docPr descr="Running my program" title="" id="71" name="Picture"/>
            <a:graphic>
              <a:graphicData uri="http://schemas.openxmlformats.org/drawingml/2006/picture">
                <pic:pic>
                  <pic:nvPicPr>
                    <pic:cNvPr descr="image/16.png" id="72" name="Picture"/>
                    <pic:cNvPicPr>
                      <a:picLocks noChangeArrowheads="1" noChangeAspect="1"/>
                    </pic:cNvPicPr>
                  </pic:nvPicPr>
                  <pic:blipFill>
                    <a:blip r:embed="rId70"/>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Рис. 16: Running my program</w:t>
      </w:r>
    </w:p>
    <w:p>
      <w:pPr>
        <w:pStyle w:val="BodyText"/>
      </w:pPr>
      <w:r>
        <w:t xml:space="preserve">code:</w:t>
      </w:r>
    </w:p>
    <w:p>
      <w:pPr>
        <w:pStyle w:val="SourceCode"/>
      </w:pPr>
      <w:r>
        <w:rPr>
          <w:rStyle w:val="OtherTok"/>
        </w:rPr>
        <w:t xml:space="preserve">%include</w:t>
      </w:r>
      <w:r>
        <w:rPr>
          <w:rStyle w:val="NormalTok"/>
        </w:rPr>
        <w:t xml:space="preserve"> 'in_out</w:t>
      </w:r>
      <w:r>
        <w:rPr>
          <w:rStyle w:val="OperatorTok"/>
        </w:rPr>
        <w:t xml:space="preserve">.</w:t>
      </w:r>
      <w:r>
        <w:rPr>
          <w:rStyle w:val="NormalTok"/>
        </w:rPr>
        <w:t xml:space="preserve">asm</w:t>
      </w:r>
      <w:r>
        <w:rPr>
          <w:rStyle w:val="StringTok"/>
        </w:rPr>
        <w:t xml:space="preserve">'</w:t>
      </w:r>
      <w:r>
        <w:br/>
      </w:r>
      <w:r>
        <w:br/>
      </w:r>
      <w:r>
        <w:rPr>
          <w:rStyle w:val="KeywordTok"/>
        </w:rPr>
        <w:t xml:space="preserve">SECTION</w:t>
      </w:r>
      <w:r>
        <w:rPr>
          <w:rStyle w:val="NormalTok"/>
        </w:rPr>
        <w:t xml:space="preserve"> </w:t>
      </w:r>
      <w:r>
        <w:rPr>
          <w:rStyle w:val="FunctionTok"/>
        </w:rPr>
        <w:t xml:space="preserve">.data</w:t>
      </w:r>
      <w:r>
        <w:br/>
      </w:r>
      <w:r>
        <w:br/>
      </w:r>
      <w:r>
        <w:rPr>
          <w:rStyle w:val="FunctionTok"/>
        </w:rPr>
        <w:t xml:space="preserve">msg:</w:t>
      </w:r>
      <w:r>
        <w:rPr>
          <w:rStyle w:val="NormalTok"/>
        </w:rPr>
        <w:t xml:space="preserve"> </w:t>
      </w:r>
      <w:r>
        <w:rPr>
          <w:rStyle w:val="DataTypeTok"/>
        </w:rPr>
        <w:t xml:space="preserve">DB</w:t>
      </w:r>
      <w:r>
        <w:rPr>
          <w:rStyle w:val="NormalTok"/>
        </w:rPr>
        <w:t xml:space="preserve"> </w:t>
      </w:r>
      <w:r>
        <w:rPr>
          <w:rStyle w:val="StringTok"/>
        </w:rPr>
        <w:t xml:space="preserve">'write a string: '</w:t>
      </w:r>
      <w:r>
        <w:rPr>
          <w:rStyle w:val="OperatorTok"/>
        </w:rPr>
        <w:t xml:space="preserve">,</w:t>
      </w:r>
      <w:r>
        <w:rPr>
          <w:rStyle w:val="NormalTok"/>
        </w:rPr>
        <w:t xml:space="preserve"> </w:t>
      </w:r>
      <w:r>
        <w:rPr>
          <w:rStyle w:val="BaseNTok"/>
        </w:rPr>
        <w:t xml:space="preserve">0h</w:t>
      </w:r>
      <w:r>
        <w:br/>
      </w:r>
      <w:r>
        <w:rPr>
          <w:rStyle w:val="FunctionTok"/>
        </w:rPr>
        <w:t xml:space="preserve">msgLen:</w:t>
      </w:r>
      <w:r>
        <w:rPr>
          <w:rStyle w:val="NormalTok"/>
        </w:rPr>
        <w:t xml:space="preserve"> </w:t>
      </w:r>
      <w:r>
        <w:rPr>
          <w:rStyle w:val="DataTypeTok"/>
        </w:rPr>
        <w:t xml:space="preserve">EQU</w:t>
      </w:r>
      <w:r>
        <w:rPr>
          <w:rStyle w:val="NormalTok"/>
        </w:rPr>
        <w:t xml:space="preserve"> </w:t>
      </w:r>
      <w:r>
        <w:rPr>
          <w:rStyle w:val="OperatorTok"/>
        </w:rPr>
        <w:t xml:space="preserve">$-</w:t>
      </w:r>
      <w:r>
        <w:rPr>
          <w:rStyle w:val="NormalTok"/>
        </w:rPr>
        <w:t xml:space="preserve">msg</w:t>
      </w:r>
      <w:r>
        <w:br/>
      </w:r>
      <w:r>
        <w:br/>
      </w:r>
      <w:r>
        <w:rPr>
          <w:rStyle w:val="KeywordTok"/>
        </w:rPr>
        <w:t xml:space="preserve">SECTION</w:t>
      </w:r>
      <w:r>
        <w:rPr>
          <w:rStyle w:val="NormalTok"/>
        </w:rPr>
        <w:t xml:space="preserve"> </w:t>
      </w:r>
      <w:r>
        <w:rPr>
          <w:rStyle w:val="FunctionTok"/>
        </w:rPr>
        <w:t xml:space="preserve">.bss</w:t>
      </w:r>
      <w:r>
        <w:br/>
      </w:r>
      <w:r>
        <w:rPr>
          <w:rStyle w:val="FunctionTok"/>
        </w:rPr>
        <w:t xml:space="preserve">buf1:</w:t>
      </w:r>
      <w:r>
        <w:rPr>
          <w:rStyle w:val="NormalTok"/>
        </w:rPr>
        <w:t xml:space="preserve"> </w:t>
      </w:r>
      <w:r>
        <w:rPr>
          <w:rStyle w:val="DataTypeTok"/>
        </w:rPr>
        <w:t xml:space="preserve">RESB</w:t>
      </w:r>
      <w:r>
        <w:rPr>
          <w:rStyle w:val="NormalTok"/>
        </w:rPr>
        <w:t xml:space="preserve"> </w:t>
      </w:r>
      <w:r>
        <w:rPr>
          <w:rStyle w:val="DecValTok"/>
        </w:rPr>
        <w:t xml:space="preserve">80</w:t>
      </w:r>
      <w:r>
        <w:br/>
      </w:r>
      <w:r>
        <w:br/>
      </w:r>
      <w:r>
        <w:rPr>
          <w:rStyle w:val="KeywordTok"/>
        </w:rPr>
        <w:t xml:space="preserve">SECTION</w:t>
      </w:r>
      <w:r>
        <w:rPr>
          <w:rStyle w:val="NormalTok"/>
        </w:rPr>
        <w:t xml:space="preserve"> </w:t>
      </w:r>
      <w:r>
        <w:rPr>
          <w:rStyle w:val="FunctionTok"/>
        </w:rPr>
        <w:t xml:space="preserve">.text</w:t>
      </w:r>
      <w:r>
        <w:br/>
      </w:r>
      <w:r>
        <w:rPr>
          <w:rStyle w:val="NormalTok"/>
        </w:rPr>
        <w:t xml:space="preserve">    </w:t>
      </w:r>
      <w:r>
        <w:rPr>
          <w:rStyle w:val="KeywordTok"/>
        </w:rPr>
        <w:t xml:space="preserve">GLOBAL</w:t>
      </w:r>
      <w:r>
        <w:rPr>
          <w:rStyle w:val="NormalTok"/>
        </w:rPr>
        <w:t xml:space="preserve"> _start</w:t>
      </w:r>
      <w:r>
        <w:br/>
      </w:r>
      <w:r>
        <w:rPr>
          <w:rStyle w:val="NormalTok"/>
        </w:rPr>
        <w:t xml:space="preserve">    </w:t>
      </w:r>
      <w:r>
        <w:rPr>
          <w:rStyle w:val="FunctionTok"/>
        </w:rPr>
        <w:t xml:space="preserve">_start:</w:t>
      </w:r>
      <w:r>
        <w:br/>
      </w:r>
      <w:r>
        <w:br/>
      </w:r>
      <w:r>
        <w:rPr>
          <w:rStyle w:val="NormalTok"/>
        </w:rPr>
        <w:t xml:space="preserve">    </w:t>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msg</w:t>
      </w:r>
      <w:r>
        <w:br/>
      </w:r>
      <w:r>
        <w:rPr>
          <w:rStyle w:val="NormalTok"/>
        </w:rPr>
        <w:t xml:space="preserve">    </w:t>
      </w:r>
      <w:r>
        <w:rPr>
          <w:rStyle w:val="ControlFlowTok"/>
        </w:rPr>
        <w:t xml:space="preserve">call</w:t>
      </w:r>
      <w:r>
        <w:rPr>
          <w:rStyle w:val="NormalTok"/>
        </w:rPr>
        <w:t xml:space="preserve"> sprint</w:t>
      </w:r>
      <w:r>
        <w:br/>
      </w:r>
      <w:r>
        <w:br/>
      </w:r>
      <w:r>
        <w:rPr>
          <w:rStyle w:val="NormalTok"/>
        </w:rPr>
        <w:t xml:space="preserve">    </w:t>
      </w:r>
      <w:r>
        <w:rPr>
          <w:rStyle w:val="KeywordTok"/>
        </w:rPr>
        <w:t xml:space="preserve">mov</w:t>
      </w:r>
      <w:r>
        <w:rPr>
          <w:rStyle w:val="NormalTok"/>
        </w:rPr>
        <w:t xml:space="preserve"> </w:t>
      </w:r>
      <w:r>
        <w:rPr>
          <w:rStyle w:val="KeywordTok"/>
        </w:rPr>
        <w:t xml:space="preserve">ecx</w:t>
      </w:r>
      <w:r>
        <w:rPr>
          <w:rStyle w:val="OperatorTok"/>
        </w:rPr>
        <w:t xml:space="preserve">,</w:t>
      </w:r>
      <w:r>
        <w:rPr>
          <w:rStyle w:val="NormalTok"/>
        </w:rPr>
        <w:t xml:space="preserve"> buf1</w:t>
      </w:r>
      <w:r>
        <w:br/>
      </w:r>
      <w:r>
        <w:rPr>
          <w:rStyle w:val="NormalTok"/>
        </w:rPr>
        <w:t xml:space="preserve">    </w:t>
      </w:r>
      <w:r>
        <w:rPr>
          <w:rStyle w:val="KeywordTok"/>
        </w:rPr>
        <w:t xml:space="preserve">mov</w:t>
      </w:r>
      <w:r>
        <w:rPr>
          <w:rStyle w:val="NormalTok"/>
        </w:rPr>
        <w:t xml:space="preserve"> </w:t>
      </w:r>
      <w:r>
        <w:rPr>
          <w:rStyle w:val="KeywordTok"/>
        </w:rPr>
        <w:t xml:space="preserve">edx</w:t>
      </w:r>
      <w:r>
        <w:rPr>
          <w:rStyle w:val="OperatorTok"/>
        </w:rPr>
        <w:t xml:space="preserve">,</w:t>
      </w:r>
      <w:r>
        <w:rPr>
          <w:rStyle w:val="NormalTok"/>
        </w:rPr>
        <w:t xml:space="preserve"> </w:t>
      </w:r>
      <w:r>
        <w:rPr>
          <w:rStyle w:val="DecValTok"/>
        </w:rPr>
        <w:t xml:space="preserve">80</w:t>
      </w:r>
      <w:r>
        <w:br/>
      </w:r>
      <w:r>
        <w:br/>
      </w:r>
      <w:r>
        <w:rPr>
          <w:rStyle w:val="NormalTok"/>
        </w:rPr>
        <w:t xml:space="preserve">    </w:t>
      </w:r>
      <w:r>
        <w:rPr>
          <w:rStyle w:val="ControlFlowTok"/>
        </w:rPr>
        <w:t xml:space="preserve">call</w:t>
      </w:r>
      <w:r>
        <w:rPr>
          <w:rStyle w:val="NormalTok"/>
        </w:rPr>
        <w:t xml:space="preserve"> sread</w:t>
      </w:r>
      <w:r>
        <w:br/>
      </w:r>
      <w:r>
        <w:br/>
      </w:r>
      <w:r>
        <w:rPr>
          <w:rStyle w:val="NormalTok"/>
        </w:rPr>
        <w:t xml:space="preserve">    </w:t>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w:t>
      </w:r>
      <w:r>
        <w:rPr>
          <w:rStyle w:val="DecValTok"/>
        </w:rPr>
        <w:t xml:space="preserve">4</w:t>
      </w:r>
      <w:r>
        <w:br/>
      </w:r>
      <w:r>
        <w:rPr>
          <w:rStyle w:val="NormalTok"/>
        </w:rPr>
        <w:t xml:space="preserve">    </w:t>
      </w:r>
      <w:r>
        <w:rPr>
          <w:rStyle w:val="KeywordTok"/>
        </w:rPr>
        <w:t xml:space="preserve">mov</w:t>
      </w:r>
      <w:r>
        <w:rPr>
          <w:rStyle w:val="NormalTok"/>
        </w:rPr>
        <w:t xml:space="preserve"> </w:t>
      </w:r>
      <w:r>
        <w:rPr>
          <w:rStyle w:val="KeywordTok"/>
        </w:rPr>
        <w:t xml:space="preserve">ebx</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KeywordTok"/>
        </w:rPr>
        <w:t xml:space="preserve">mov</w:t>
      </w:r>
      <w:r>
        <w:rPr>
          <w:rStyle w:val="NormalTok"/>
        </w:rPr>
        <w:t xml:space="preserve"> </w:t>
      </w:r>
      <w:r>
        <w:rPr>
          <w:rStyle w:val="KeywordTok"/>
        </w:rPr>
        <w:t xml:space="preserve">ecx</w:t>
      </w:r>
      <w:r>
        <w:rPr>
          <w:rStyle w:val="OperatorTok"/>
        </w:rPr>
        <w:t xml:space="preserve">,</w:t>
      </w:r>
      <w:r>
        <w:rPr>
          <w:rStyle w:val="NormalTok"/>
        </w:rPr>
        <w:t xml:space="preserve"> buf1</w:t>
      </w:r>
      <w:r>
        <w:br/>
      </w:r>
      <w:r>
        <w:rPr>
          <w:rStyle w:val="NormalTok"/>
        </w:rPr>
        <w:t xml:space="preserve">    </w:t>
      </w:r>
      <w:r>
        <w:rPr>
          <w:rStyle w:val="KeywordTok"/>
        </w:rPr>
        <w:t xml:space="preserve">int</w:t>
      </w:r>
      <w:r>
        <w:rPr>
          <w:rStyle w:val="NormalTok"/>
        </w:rPr>
        <w:t xml:space="preserve"> </w:t>
      </w:r>
      <w:r>
        <w:rPr>
          <w:rStyle w:val="BaseNTok"/>
        </w:rPr>
        <w:t xml:space="preserve">80h</w:t>
      </w:r>
      <w:r>
        <w:br/>
      </w:r>
      <w:r>
        <w:br/>
      </w:r>
      <w:r>
        <w:rPr>
          <w:rStyle w:val="NormalTok"/>
        </w:rPr>
        <w:t xml:space="preserve">    </w:t>
      </w:r>
      <w:r>
        <w:rPr>
          <w:rStyle w:val="ControlFlowTok"/>
        </w:rPr>
        <w:t xml:space="preserve">call</w:t>
      </w:r>
      <w:r>
        <w:rPr>
          <w:rStyle w:val="NormalTok"/>
        </w:rPr>
        <w:t xml:space="preserve"> quit</w:t>
      </w:r>
    </w:p>
    <w:bookmarkEnd w:id="73"/>
    <w:bookmarkEnd w:id="74"/>
    <w:bookmarkStart w:id="75" w:name="conclusions"/>
    <w:p>
      <w:pPr>
        <w:pStyle w:val="Heading1"/>
      </w:pPr>
      <w:r>
        <w:rPr>
          <w:rStyle w:val="SectionNumber"/>
        </w:rPr>
        <w:t xml:space="preserve">4</w:t>
      </w:r>
      <w:r>
        <w:tab/>
      </w:r>
      <w:r>
        <w:t xml:space="preserve">Conclusions</w:t>
      </w:r>
    </w:p>
    <w:p>
      <w:pPr>
        <w:pStyle w:val="FirstParagraph"/>
      </w:pPr>
      <w:r>
        <w:t xml:space="preserve">During this lab I gained practical skills in working in Midnight Commander and also mastered the assembly language instructions mov and int.</w:t>
      </w:r>
    </w:p>
    <w:bookmarkEnd w:id="75"/>
    <w:bookmarkStart w:id="80" w:name="references"/>
    <w:p>
      <w:pPr>
        <w:pStyle w:val="Heading1"/>
      </w:pPr>
      <w:r>
        <w:t xml:space="preserve">References</w:t>
      </w:r>
    </w:p>
    <w:p>
      <w:pPr>
        <w:numPr>
          <w:ilvl w:val="0"/>
          <w:numId w:val="1003"/>
        </w:numPr>
        <w:pStyle w:val="Compact"/>
      </w:pPr>
      <w:hyperlink r:id="rId76">
        <w:r>
          <w:rPr>
            <w:rStyle w:val="Hyperlink"/>
          </w:rPr>
          <w:t xml:space="preserve">sample</w:t>
        </w:r>
      </w:hyperlink>
    </w:p>
    <w:p>
      <w:pPr>
        <w:numPr>
          <w:ilvl w:val="0"/>
          <w:numId w:val="1003"/>
        </w:numPr>
        <w:pStyle w:val="Compact"/>
      </w:pPr>
      <w:hyperlink r:id="rId77">
        <w:r>
          <w:rPr>
            <w:rStyle w:val="Hyperlink"/>
          </w:rPr>
          <w:t xml:space="preserve">course on tuis</w:t>
        </w:r>
      </w:hyperlink>
    </w:p>
    <w:p>
      <w:pPr>
        <w:numPr>
          <w:ilvl w:val="0"/>
          <w:numId w:val="1003"/>
        </w:numPr>
        <w:pStyle w:val="Compact"/>
      </w:pPr>
      <w:hyperlink r:id="rId78">
        <w:r>
          <w:rPr>
            <w:rStyle w:val="Hyperlink"/>
          </w:rPr>
          <w:t xml:space="preserve">labrotary work №5</w:t>
        </w:r>
      </w:hyperlink>
    </w:p>
    <w:p>
      <w:pPr>
        <w:numPr>
          <w:ilvl w:val="0"/>
          <w:numId w:val="1003"/>
        </w:numPr>
        <w:pStyle w:val="Compact"/>
      </w:pPr>
      <w:hyperlink r:id="rId79">
        <w:r>
          <w:rPr>
            <w:rStyle w:val="Hyperlink"/>
          </w:rPr>
          <w:t xml:space="preserve">prograaming in nasmlanguage</w:t>
        </w:r>
      </w:hyperlink>
    </w:p>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hyperlink" Id="rId77" Target="https://esystem.rudn.ru/course/view.php?id=112" TargetMode="External" /><Relationship Type="http://schemas.openxmlformats.org/officeDocument/2006/relationships/hyperlink" Id="rId79" Target="https://esystem.rudn.ru/pluginfile.php/2088953/mod_resource/content/2/%D0%A1%D1%82%D0%BE%D0%BB%D1%8F%D1%80%D0%BE%D0%B2%20%D0%90.%20%D0%92.%20-%20%D0%9F%D1%80%D0%BE%D0%B3%D1%80%D0%B0%D0%BC%D0%BC%D0%B8%D1%80%D0%BE%D0%B2%D0%B0%D0%BD%D0%B8%D0%B5%20%D0%BD%D0%B0%20%D1%8F%D0%B7%D1%8B%D0%BA%D0%B5%20%D0%B0%D1%81%D1%81%D0%B5%D0%BC%D0%B1%D0%BB%D0%B5%D1%80%D0%B0%20NASM%20%D0%B4%D0%BB%D1%8F%20%D0%9E%D0%A1%20Unix.pdf" TargetMode="External" /><Relationship Type="http://schemas.openxmlformats.org/officeDocument/2006/relationships/hyperlink" Id="rId78" Target="https://esystem.rudn.ru/pluginfile.php/2089085/mod_resource/content/0/%D0%9B%D0%B0%D0%B1%D0%BE%D1%80%D0%B0%D1%82%D0%BE%D1%80%D0%BD%D0%B0%D1%8F%20%D1%80%D0%B0%D0%B1%D0%BE%D1%82%D0%B0%20%E2%84%965.%20%D0%9E%D1%81%D0%BD%D0%BE%D0%B2%D1%8B%20%D1%80%D0%B0%D0%B1%D0%BE%D1%82%D1%8B%20%D1%81%20Midnight%20Commander%20%28%29.%20%D0%A1%D1%82%D1%80%D1%83%D0%BA%D1%82%D1%83%D1%80%D0%B0%20%D0%BF%D1%80%D0%BE%D0%B3%D1%80%D0%B0%D0%BC%D0%BC%D1%8B%20%D0%BD%D0%B0%20%D1%8F%D0%B7%D1%8B%D0%BA%D0%B5%20%D0%B0%D1%81%D1%81%D0%B5%D0%BC%D0%B1%D0%BB%D0%B5%D1%80%D0%B0%20NASM.%20%D0%A1%D0%B8%D1%81%D1%82%D0%B5%D0%BC%D0%BD%D1%8B%D0%B5%20%D0%B2%D1%8B%D0%B7%D0%BE%D0%B2%D1%8B%20%D0%B2%20%D0%9E%D0%A1%20GNU%20Linux.pdf" TargetMode="External" /><Relationship Type="http://schemas.openxmlformats.org/officeDocument/2006/relationships/hyperlink" Id="rId76" Target="https://github.com/evdvorkina/study_2022-2023_arh-pc/blob/master/labs/lab06/report/%D0%9B06_%D0%94%D0%B2%D0%BE%D1%80%D0%BA%D0%B8%D0%BD%D0%B0_%D0%BE%D1%82%D1%87%D0%B5%D1%82.md?plain=1" TargetMode="External" /></Relationships>
</file>

<file path=word/_rels/footnotes.xml.rels><?xml version="1.0" encoding="UTF-8"?><Relationships xmlns="http://schemas.openxmlformats.org/package/2006/relationships"><Relationship Type="http://schemas.openxmlformats.org/officeDocument/2006/relationships/hyperlink" Id="rId77" Target="https://esystem.rudn.ru/course/view.php?id=112" TargetMode="External" /><Relationship Type="http://schemas.openxmlformats.org/officeDocument/2006/relationships/hyperlink" Id="rId79" Target="https://esystem.rudn.ru/pluginfile.php/2088953/mod_resource/content/2/%D0%A1%D1%82%D0%BE%D0%BB%D1%8F%D1%80%D0%BE%D0%B2%20%D0%90.%20%D0%92.%20-%20%D0%9F%D1%80%D0%BE%D0%B3%D1%80%D0%B0%D0%BC%D0%BC%D0%B8%D1%80%D0%BE%D0%B2%D0%B0%D0%BD%D0%B8%D0%B5%20%D0%BD%D0%B0%20%D1%8F%D0%B7%D1%8B%D0%BA%D0%B5%20%D0%B0%D1%81%D1%81%D0%B5%D0%BC%D0%B1%D0%BB%D0%B5%D1%80%D0%B0%20NASM%20%D0%B4%D0%BB%D1%8F%20%D0%9E%D0%A1%20Unix.pdf" TargetMode="External" /><Relationship Type="http://schemas.openxmlformats.org/officeDocument/2006/relationships/hyperlink" Id="rId78" Target="https://esystem.rudn.ru/pluginfile.php/2089085/mod_resource/content/0/%D0%9B%D0%B0%D0%B1%D0%BE%D1%80%D0%B0%D1%82%D0%BE%D1%80%D0%BD%D0%B0%D1%8F%20%D1%80%D0%B0%D0%B1%D0%BE%D1%82%D0%B0%20%E2%84%965.%20%D0%9E%D1%81%D0%BD%D0%BE%D0%B2%D1%8B%20%D1%80%D0%B0%D0%B1%D0%BE%D1%82%D1%8B%20%D1%81%20Midnight%20Commander%20%28%29.%20%D0%A1%D1%82%D1%80%D1%83%D0%BA%D1%82%D1%83%D1%80%D0%B0%20%D0%BF%D1%80%D0%BE%D0%B3%D1%80%D0%B0%D0%BC%D0%BC%D1%8B%20%D0%BD%D0%B0%20%D1%8F%D0%B7%D1%8B%D0%BA%D0%B5%20%D0%B0%D1%81%D1%81%D0%B5%D0%BC%D0%B1%D0%BB%D0%B5%D1%80%D0%B0%20NASM.%20%D0%A1%D0%B8%D1%81%D1%82%D0%B5%D0%BC%D0%BD%D1%8B%D0%B5%20%D0%B2%D1%8B%D0%B7%D0%BE%D0%B2%D1%8B%20%D0%B2%20%D0%9E%D0%A1%20GNU%20Linux.pdf" TargetMode="External" /><Relationship Type="http://schemas.openxmlformats.org/officeDocument/2006/relationships/hyperlink" Id="rId76" Target="https://github.com/evdvorkina/study_2022-2023_arh-pc/blob/master/labs/lab06/report/%D0%9B06_%D0%94%D0%B2%D0%BE%D1%80%D0%BA%D0%B8%D0%BD%D0%B0_%D0%BE%D1%82%D1%87%D0%B5%D1%82.md?plain=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labrotary work №5</dc:title>
  <dc:creator>Ali hosseinabadi</dc:creator>
  <dc:language>en-EN</dc:language>
  <cp:keywords/>
  <dcterms:created xsi:type="dcterms:W3CDTF">2024-11-12T10:12:41Z</dcterms:created>
  <dcterms:modified xsi:type="dcterms:W3CDTF">2024-11-12T10:12:41Z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IBM Plex Serif</vt:lpwstr>
  </property>
  <property fmtid="{D5CDD505-2E9C-101B-9397-08002B2CF9AE}" pid="59" name="mainfontoptions">
    <vt:lpwstr>Ligatures=Common,Ligatures=TeX,Scale=0.94</vt:lpwstr>
  </property>
  <property fmtid="{D5CDD505-2E9C-101B-9397-08002B2CF9AE}" pid="60" name="mathfont">
    <vt:lpwstr>STIX Two Math</vt:lpwstr>
  </property>
  <property fmtid="{D5CDD505-2E9C-101B-9397-08002B2CF9AE}" pid="61" name="mathfontoptions">
    <vt:lpwstr/>
  </property>
  <property fmtid="{D5CDD505-2E9C-101B-9397-08002B2CF9AE}" pid="62" name="monofont">
    <vt:lpwstr>IBM Plex Mono</vt:lpwstr>
  </property>
  <property fmtid="{D5CDD505-2E9C-101B-9397-08002B2CF9AE}" pid="63" name="monofontoptions">
    <vt:lpwstr>Scale=MatchLowercase,Scale=0.94,FakeStretch=0.9</vt:lpwstr>
  </property>
  <property fmtid="{D5CDD505-2E9C-101B-9397-08002B2CF9AE}" pid="64" name="nameInLink">
    <vt:lpwstr>False</vt:lpwstr>
  </property>
  <property fmtid="{D5CDD505-2E9C-101B-9397-08002B2CF9AE}" pid="65" name="numberSections">
    <vt:lpwstr>False</vt:lpwstr>
  </property>
  <property fmtid="{D5CDD505-2E9C-101B-9397-08002B2CF9AE}" pid="66" name="pairDelim">
    <vt:lpwstr>, </vt:lpwstr>
  </property>
  <property fmtid="{D5CDD505-2E9C-101B-9397-08002B2CF9AE}" pid="67" name="papersize">
    <vt:lpwstr>a4</vt:lpwstr>
  </property>
  <property fmtid="{D5CDD505-2E9C-101B-9397-08002B2CF9AE}" pid="68" name="polyglossia-lang">
    <vt:lpwstr/>
  </property>
  <property fmtid="{D5CDD505-2E9C-101B-9397-08002B2CF9AE}" pid="69" name="polyglossia-otherlangs">
    <vt:lpwstr/>
  </property>
  <property fmtid="{D5CDD505-2E9C-101B-9397-08002B2CF9AE}" pid="70" name="rangeDelim">
    <vt:lpwstr>-</vt:lpwstr>
  </property>
  <property fmtid="{D5CDD505-2E9C-101B-9397-08002B2CF9AE}" pid="71" name="refDelim">
    <vt:lpwstr>, </vt:lpwstr>
  </property>
  <property fmtid="{D5CDD505-2E9C-101B-9397-08002B2CF9AE}" pid="72" name="refIndexTemplate">
    <vt:lpwstr>isuf</vt:lpwstr>
  </property>
  <property fmtid="{D5CDD505-2E9C-101B-9397-08002B2CF9AE}" pid="73" name="romanfont">
    <vt:lpwstr>IBM Plex Serif</vt:lpwstr>
  </property>
  <property fmtid="{D5CDD505-2E9C-101B-9397-08002B2CF9AE}" pid="74" name="romanfontoptions">
    <vt:lpwstr>Ligatures=Common,Ligatures=TeX,Scale=0.94</vt:lpwstr>
  </property>
  <property fmtid="{D5CDD505-2E9C-101B-9397-08002B2CF9AE}" pid="75" name="sansfont">
    <vt:lpwstr>IBM Plex Sans</vt:lpwstr>
  </property>
  <property fmtid="{D5CDD505-2E9C-101B-9397-08002B2CF9AE}" pid="76" name="sansfontoptions">
    <vt:lpwstr>Ligatures=Common,Ligatures=TeX,Scale=MatchLowercase,Scale=0.94</vt:lpwstr>
  </property>
  <property fmtid="{D5CDD505-2E9C-101B-9397-08002B2CF9AE}" pid="77" name="secHeaderDelim">
    <vt:lpwstr> </vt:lpwstr>
  </property>
  <property fmtid="{D5CDD505-2E9C-101B-9397-08002B2CF9AE}" pid="78" name="secHeaderTemplate">
    <vt:lpwstr>isecHeaderDelim[n]t</vt:lpwstr>
  </property>
  <property fmtid="{D5CDD505-2E9C-101B-9397-08002B2CF9AE}" pid="79" name="secLabels">
    <vt:lpwstr>arabic</vt:lpwstr>
  </property>
  <property fmtid="{D5CDD505-2E9C-101B-9397-08002B2CF9AE}" pid="80" name="secPrefix">
    <vt:lpwstr/>
  </property>
  <property fmtid="{D5CDD505-2E9C-101B-9397-08002B2CF9AE}" pid="81" name="secPrefixTemplate">
    <vt:lpwstr>p i</vt:lpwstr>
  </property>
  <property fmtid="{D5CDD505-2E9C-101B-9397-08002B2CF9AE}" pid="82" name="sectionsDepth">
    <vt:lpwstr>0</vt:lpwstr>
  </property>
  <property fmtid="{D5CDD505-2E9C-101B-9397-08002B2CF9AE}" pid="83" name="subfigGrid">
    <vt:lpwstr>False</vt:lpwstr>
  </property>
  <property fmtid="{D5CDD505-2E9C-101B-9397-08002B2CF9AE}" pid="84" name="subfigLabels">
    <vt:lpwstr>alpha a</vt:lpwstr>
  </property>
  <property fmtid="{D5CDD505-2E9C-101B-9397-08002B2CF9AE}" pid="85" name="subfigureChildTemplate">
    <vt:lpwstr>i</vt:lpwstr>
  </property>
  <property fmtid="{D5CDD505-2E9C-101B-9397-08002B2CF9AE}" pid="86" name="subfigureRefIndexTemplate">
    <vt:lpwstr>isuf (s)</vt:lpwstr>
  </property>
  <property fmtid="{D5CDD505-2E9C-101B-9397-08002B2CF9AE}" pid="87" name="subfigureTemplate">
    <vt:lpwstr>figureTitle ititleDelim t. ccs</vt:lpwstr>
  </property>
  <property fmtid="{D5CDD505-2E9C-101B-9397-08002B2CF9AE}" pid="88" name="subtitle">
    <vt:lpwstr>computer architecture</vt:lpwstr>
  </property>
  <property fmtid="{D5CDD505-2E9C-101B-9397-08002B2CF9AE}" pid="89" name="tableEqns">
    <vt:lpwstr>False</vt:lpwstr>
  </property>
  <property fmtid="{D5CDD505-2E9C-101B-9397-08002B2CF9AE}" pid="90" name="tableTemplate">
    <vt:lpwstr>tableTitle ititleDelim t</vt:lpwstr>
  </property>
  <property fmtid="{D5CDD505-2E9C-101B-9397-08002B2CF9AE}" pid="91" name="tableTitle">
    <vt:lpwstr>Таблица</vt:lpwstr>
  </property>
  <property fmtid="{D5CDD505-2E9C-101B-9397-08002B2CF9AE}" pid="92" name="tblLabels">
    <vt:lpwstr>arabic</vt:lpwstr>
  </property>
  <property fmtid="{D5CDD505-2E9C-101B-9397-08002B2CF9AE}" pid="93" name="tblPrefix">
    <vt:lpwstr/>
  </property>
  <property fmtid="{D5CDD505-2E9C-101B-9397-08002B2CF9AE}" pid="94" name="tblPrefixTemplate">
    <vt:lpwstr>p i</vt:lpwstr>
  </property>
  <property fmtid="{D5CDD505-2E9C-101B-9397-08002B2CF9AE}" pid="95" name="titleDelim">
    <vt:lpwstr>:</vt:lpwstr>
  </property>
  <property fmtid="{D5CDD505-2E9C-101B-9397-08002B2CF9AE}" pid="96" name="toc">
    <vt:lpwstr>True</vt:lpwstr>
  </property>
  <property fmtid="{D5CDD505-2E9C-101B-9397-08002B2CF9AE}" pid="97" name="toc-depth">
    <vt:lpwstr>2</vt:lpwstr>
  </property>
  <property fmtid="{D5CDD505-2E9C-101B-9397-08002B2CF9AE}" pid="98" name="toc-title">
    <vt:lpwstr>Content</vt:lpwstr>
  </property>
</Properties>
</file>